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1C" w:rsidRPr="00082AE0" w:rsidRDefault="00B20E1C" w:rsidP="00B20E1C">
      <w:pPr>
        <w:pStyle w:val="menarini"/>
        <w:pBdr>
          <w:bottom w:val="single" w:sz="4" w:space="1" w:color="auto"/>
        </w:pBdr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082AE0">
        <w:rPr>
          <w:rFonts w:ascii="Times New Roman" w:hAnsi="Times New Roman"/>
          <w:b/>
          <w:sz w:val="24"/>
          <w:szCs w:val="24"/>
        </w:rPr>
        <w:t xml:space="preserve">ΠΛΗΡΩΣ ΑΥΤΟΜΑΤΟΣ ΑΝΑΛΥΤΗΣ ΓΙΑ ΤΟΝ ΠΡΟΣΔΙΟΡΙΣΜΟ ΤΩΝ ΦΥΣΙΚΟΧΗΜΙΚΩΝ ΠΑΡΑΜΕΤΡΩΝ ΣΕ ΔΕΙΓΜΑ ΟΥΡΩΝ </w:t>
      </w:r>
    </w:p>
    <w:p w:rsidR="00B20E1C" w:rsidRPr="00082AE0" w:rsidRDefault="00B20E1C" w:rsidP="00B20E1C">
      <w:pPr>
        <w:ind w:left="-567"/>
        <w:jc w:val="right"/>
      </w:pPr>
    </w:p>
    <w:p w:rsidR="00B20E1C" w:rsidRPr="00082AE0" w:rsidRDefault="00B20E1C" w:rsidP="00B20E1C">
      <w:pPr>
        <w:ind w:left="-567"/>
        <w:jc w:val="right"/>
      </w:pPr>
    </w:p>
    <w:p w:rsidR="00B20E1C" w:rsidRPr="00082AE0" w:rsidRDefault="00B20E1C" w:rsidP="00B20E1C">
      <w:pPr>
        <w:spacing w:line="360" w:lineRule="auto"/>
        <w:ind w:left="-567"/>
      </w:pPr>
      <w:r w:rsidRPr="00082AE0">
        <w:t>Το αυτόματο σύστημα ανάλυσης φυσικοχημικών παραμέτρων σε δείγμα ούρων πρέπει να πληροί τις παρακάτω προδιαγραφές :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Ο προσφερόμενος αναλυτής να είναι καινούργιος και αμεταχείριστος.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Να είναι πλήρως αυτοματοποιημένος σε όλη την διαδικασία μέτρησης των δειγμάτων χωρίς την ανάγκη συνεχούς παρουσίας του χειριστή.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Να έχει αυτόματο </w:t>
      </w:r>
      <w:proofErr w:type="spellStart"/>
      <w:r w:rsidRPr="00082AE0">
        <w:t>δειγματοφορέα</w:t>
      </w:r>
      <w:proofErr w:type="spellEnd"/>
      <w:r w:rsidRPr="00082AE0">
        <w:t xml:space="preserve"> για την ταυτόχρονη φόρτωση τουλάχιστον 50 δειγμάτων και δυνατότητα επέκτασής του έως 100 δείγματα.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Να έχει παραγωγικότητα τουλάχιστον 220 δειγμάτων/ώρα.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Να μετρά το ειδικό βάρος με </w:t>
      </w:r>
      <w:proofErr w:type="spellStart"/>
      <w:r w:rsidRPr="00082AE0">
        <w:t>διαθλασίμετρο</w:t>
      </w:r>
      <w:proofErr w:type="spellEnd"/>
      <w:r w:rsidRPr="00082AE0">
        <w:t xml:space="preserve"> σε εύρος τουλάχιστον 1,000 – 1,050 με ανάλυση 0,001.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Να μπορεί να μετρά επείγοντα δείγματα (</w:t>
      </w:r>
      <w:r w:rsidRPr="00082AE0">
        <w:rPr>
          <w:lang w:val="en-US"/>
        </w:rPr>
        <w:t>STAT</w:t>
      </w:r>
      <w:r w:rsidRPr="00082AE0">
        <w:t xml:space="preserve">). Τα επείγοντα δείγματα να μπορούν να τοποθετηθούν τόσο σε ειδική θέση του αναλυτή, όσο και σε ειδικό </w:t>
      </w:r>
      <w:proofErr w:type="spellStart"/>
      <w:r w:rsidRPr="00082AE0">
        <w:t>δειγματοφορέα</w:t>
      </w:r>
      <w:proofErr w:type="spellEnd"/>
      <w:r w:rsidRPr="00082AE0">
        <w:t xml:space="preserve"> (στατώ) για την ανάλυση περισσοτέρων του ενός δειγμάτων.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Να διαθέτει χώρο αποθήκευσης τουλάχιστον 400 αντιδραστηρίων ταινιών.</w:t>
      </w:r>
      <w:r w:rsidRPr="00082AE0">
        <w:rPr>
          <w:color w:val="FF0000"/>
        </w:rPr>
        <w:t xml:space="preserve"> </w:t>
      </w:r>
      <w:r w:rsidRPr="00082AE0">
        <w:rPr>
          <w:color w:val="000000"/>
        </w:rPr>
        <w:t>Με  δυνατότητα τοποθέτησης αριθμού ταινιών που θα αποφασίζει ο χρήστης.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Στο χώρο αποθήκευσης να μπορεί να δεχθεί ταυτόχρονα πάνω από ένα τύπο </w:t>
      </w:r>
      <w:bookmarkStart w:id="0" w:name="_Hlk96877404"/>
      <w:bookmarkStart w:id="1" w:name="_Hlk96877905"/>
      <w:r w:rsidRPr="00082AE0">
        <w:t>αντιδραστηρίων</w:t>
      </w:r>
      <w:bookmarkEnd w:id="0"/>
      <w:r w:rsidRPr="00082AE0">
        <w:t xml:space="preserve"> ταινιών </w:t>
      </w:r>
      <w:bookmarkEnd w:id="1"/>
      <w:r w:rsidRPr="00082AE0">
        <w:t>και να γίνεται αυτόματα επιλογή και ανάλυση δειγμάτων με τον αντίστοιχο τύπο ταινιών.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Να μην απαιτεί ειδική διαδικασία για την προσθήκη/αλλαγή αντιδραστηρίων ταινιών (συνεχούς φόρτωσης αντιδραστηρίων) ώστε να μην ακινητοποιείται ή διακόπτεται καθ’ οιονδήποτε τρόπο η εργασία ρουτίνας του εργαστηρίου.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Η φωτομετρική μονάδα να έχει </w:t>
      </w:r>
      <w:r w:rsidRPr="00082AE0">
        <w:rPr>
          <w:lang w:val="en-US"/>
        </w:rPr>
        <w:t>LED</w:t>
      </w:r>
      <w:r w:rsidRPr="00082AE0">
        <w:t xml:space="preserve"> με 5 μήκη κύματος (430, 500, 565, 635, 760 </w:t>
      </w:r>
      <w:r w:rsidRPr="00082AE0">
        <w:rPr>
          <w:lang w:val="en-US"/>
        </w:rPr>
        <w:t>nm</w:t>
      </w:r>
      <w:r w:rsidRPr="00082AE0">
        <w:t xml:space="preserve">) και να εφαρμόζει την μέθοδο της </w:t>
      </w:r>
      <w:proofErr w:type="spellStart"/>
      <w:r w:rsidRPr="00082AE0">
        <w:t>ανακλασιμετρίας</w:t>
      </w:r>
      <w:proofErr w:type="spellEnd"/>
      <w:r w:rsidRPr="00082AE0">
        <w:t>. Οι μετρήσεις να γίνονται σε δύο μήκη κύματος σε όλες τις ζητούμενες παραμέτρους  των αντιδραστηρίων ταινιών εκτός της αιμοσφαιρίνης (</w:t>
      </w:r>
      <w:r w:rsidRPr="00082AE0">
        <w:rPr>
          <w:lang w:val="en-US"/>
        </w:rPr>
        <w:t>BLD</w:t>
      </w:r>
      <w:r w:rsidRPr="00082AE0">
        <w:t>), για εξάλειψη πιθανών παρεμβολών.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Για την μέτρηση του χρώματος των ούρων να χρησιμοποιεί τουλάχιστον τρία μήκη κύματος (να αναφερθούν) και ο προσδιορισμός του να γίνεται μεταξύ τουλάχιστον 20 αποχρώσεων για την μεγαλύτερη δυνατή ακρίβεια.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Να προσδιορίζει με την μεγαλύτερη δυνατή αναλυτική ικανότητα και γραμμικότητα τις κάτωθι 12 παραμέτρους:</w:t>
      </w:r>
    </w:p>
    <w:p w:rsidR="00B20E1C" w:rsidRPr="00082AE0" w:rsidRDefault="00EF7478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>
        <w:rPr>
          <w:i/>
        </w:rPr>
        <w:pict>
          <v:line id="_x0000_s1026" style="position:absolute;left:0;text-align:left;z-index:251657216" from="167.85pt,1.6pt" to="167.85pt,66.4pt" o:allowincell="f" stroked="f">
            <v:shadow on="t" color="silver" offset="3pt"/>
          </v:line>
        </w:pict>
      </w:r>
      <w:r w:rsidR="00B20E1C" w:rsidRPr="00082AE0">
        <w:rPr>
          <w:i/>
        </w:rPr>
        <w:t>ΠΡΩΤΕ</w:t>
      </w:r>
      <w:r w:rsidR="00B20E1C" w:rsidRPr="00082AE0">
        <w:rPr>
          <w:i/>
          <w:snapToGrid w:val="0"/>
        </w:rPr>
        <w:t>Ï</w:t>
      </w:r>
      <w:r w:rsidR="00B20E1C" w:rsidRPr="00082AE0">
        <w:rPr>
          <w:i/>
        </w:rPr>
        <w:t>ΝΕΣ (</w:t>
      </w:r>
      <w:r w:rsidR="00B20E1C" w:rsidRPr="00082AE0">
        <w:rPr>
          <w:i/>
          <w:lang w:val="en-US"/>
        </w:rPr>
        <w:t>Pro)</w:t>
      </w:r>
    </w:p>
    <w:p w:rsidR="00B20E1C" w:rsidRPr="00082AE0" w:rsidRDefault="00B20E1C" w:rsidP="00B20E1C">
      <w:pPr>
        <w:pStyle w:val="H5"/>
        <w:keepNext w:val="0"/>
        <w:numPr>
          <w:ilvl w:val="0"/>
          <w:numId w:val="2"/>
        </w:numPr>
        <w:tabs>
          <w:tab w:val="clear" w:pos="360"/>
        </w:tabs>
        <w:spacing w:before="0" w:after="0" w:line="360" w:lineRule="auto"/>
        <w:ind w:left="1560"/>
        <w:outlineLvl w:val="9"/>
        <w:rPr>
          <w:rFonts w:ascii="Times New Roman" w:hAnsi="Times New Roman"/>
          <w:i/>
          <w:noProof w:val="0"/>
          <w:sz w:val="24"/>
          <w:szCs w:val="24"/>
        </w:rPr>
      </w:pPr>
      <w:r w:rsidRPr="00082AE0">
        <w:rPr>
          <w:rFonts w:ascii="Times New Roman" w:hAnsi="Times New Roman"/>
          <w:i/>
          <w:noProof w:val="0"/>
          <w:sz w:val="24"/>
          <w:szCs w:val="24"/>
        </w:rPr>
        <w:lastRenderedPageBreak/>
        <w:t>ΝΙΤΡΙΚΑ</w:t>
      </w: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 xml:space="preserve"> (Nit)</w:t>
      </w:r>
    </w:p>
    <w:p w:rsidR="00B20E1C" w:rsidRPr="00082AE0" w:rsidRDefault="00B20E1C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 w:rsidRPr="00082AE0">
        <w:rPr>
          <w:i/>
        </w:rPr>
        <w:t>ΛΕΥΚΟΚΥΤΤΑΡΙΚΗ ΕΣΤΕΡΑΣΗ</w:t>
      </w:r>
      <w:r w:rsidRPr="00082AE0">
        <w:rPr>
          <w:i/>
          <w:lang w:val="en-US"/>
        </w:rPr>
        <w:t xml:space="preserve"> (</w:t>
      </w:r>
      <w:proofErr w:type="spellStart"/>
      <w:r w:rsidRPr="00082AE0">
        <w:rPr>
          <w:i/>
          <w:lang w:val="en-US"/>
        </w:rPr>
        <w:t>Leu</w:t>
      </w:r>
      <w:proofErr w:type="spellEnd"/>
      <w:r w:rsidRPr="00082AE0">
        <w:rPr>
          <w:i/>
          <w:lang w:val="en-US"/>
        </w:rPr>
        <w:t>)</w:t>
      </w:r>
    </w:p>
    <w:p w:rsidR="00B20E1C" w:rsidRPr="00082AE0" w:rsidRDefault="00B20E1C" w:rsidP="00B20E1C">
      <w:pPr>
        <w:pStyle w:val="H5"/>
        <w:keepNext w:val="0"/>
        <w:numPr>
          <w:ilvl w:val="0"/>
          <w:numId w:val="2"/>
        </w:numPr>
        <w:tabs>
          <w:tab w:val="clear" w:pos="360"/>
        </w:tabs>
        <w:spacing w:before="0" w:after="0" w:line="360" w:lineRule="auto"/>
        <w:ind w:left="1560"/>
        <w:outlineLvl w:val="9"/>
        <w:rPr>
          <w:rFonts w:ascii="Times New Roman" w:hAnsi="Times New Roman"/>
          <w:i/>
          <w:noProof w:val="0"/>
          <w:sz w:val="24"/>
          <w:szCs w:val="24"/>
        </w:rPr>
      </w:pPr>
      <w:r w:rsidRPr="00082AE0">
        <w:rPr>
          <w:rFonts w:ascii="Times New Roman" w:hAnsi="Times New Roman"/>
          <w:i/>
          <w:noProof w:val="0"/>
          <w:sz w:val="24"/>
          <w:szCs w:val="24"/>
        </w:rPr>
        <w:t>ΑΙΜΟΣΦΑΙΡΙΝΗ</w:t>
      </w: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 xml:space="preserve"> (</w:t>
      </w:r>
      <w:proofErr w:type="spellStart"/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>Bld</w:t>
      </w:r>
      <w:proofErr w:type="spellEnd"/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>)</w:t>
      </w:r>
    </w:p>
    <w:p w:rsidR="00B20E1C" w:rsidRPr="00082AE0" w:rsidRDefault="00B20E1C" w:rsidP="00B20E1C">
      <w:pPr>
        <w:pStyle w:val="H5"/>
        <w:keepNext w:val="0"/>
        <w:numPr>
          <w:ilvl w:val="0"/>
          <w:numId w:val="2"/>
        </w:numPr>
        <w:tabs>
          <w:tab w:val="clear" w:pos="360"/>
        </w:tabs>
        <w:spacing w:before="0" w:after="0" w:line="360" w:lineRule="auto"/>
        <w:ind w:left="1560"/>
        <w:outlineLvl w:val="9"/>
        <w:rPr>
          <w:rFonts w:ascii="Times New Roman" w:hAnsi="Times New Roman"/>
          <w:i/>
          <w:noProof w:val="0"/>
          <w:sz w:val="24"/>
          <w:szCs w:val="24"/>
        </w:rPr>
      </w:pPr>
      <w:r w:rsidRPr="00082AE0">
        <w:rPr>
          <w:rFonts w:ascii="Times New Roman" w:hAnsi="Times New Roman"/>
          <w:i/>
          <w:noProof w:val="0"/>
          <w:sz w:val="24"/>
          <w:szCs w:val="24"/>
        </w:rPr>
        <w:t>ΓΛΥΚΟΖΗ</w:t>
      </w: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 xml:space="preserve"> (Glu)</w:t>
      </w:r>
    </w:p>
    <w:p w:rsidR="00B20E1C" w:rsidRPr="00082AE0" w:rsidRDefault="00B20E1C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 w:rsidRPr="00082AE0">
        <w:rPr>
          <w:i/>
        </w:rPr>
        <w:t>ΧΟΛΕΡΥΘΡΙΝΗ</w:t>
      </w:r>
      <w:r w:rsidRPr="00082AE0">
        <w:rPr>
          <w:i/>
          <w:lang w:val="en-US"/>
        </w:rPr>
        <w:t xml:space="preserve"> (</w:t>
      </w:r>
      <w:proofErr w:type="spellStart"/>
      <w:r w:rsidRPr="00082AE0">
        <w:rPr>
          <w:i/>
          <w:lang w:val="en-US"/>
        </w:rPr>
        <w:t>Bil</w:t>
      </w:r>
      <w:proofErr w:type="spellEnd"/>
      <w:r w:rsidRPr="00082AE0">
        <w:rPr>
          <w:i/>
          <w:lang w:val="en-US"/>
        </w:rPr>
        <w:t>)</w:t>
      </w:r>
    </w:p>
    <w:p w:rsidR="00B20E1C" w:rsidRPr="00082AE0" w:rsidRDefault="00B20E1C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 w:rsidRPr="00082AE0">
        <w:rPr>
          <w:i/>
        </w:rPr>
        <w:t>ΟΥΡΟΧΟΛΙΝΟΓΟΝΟ</w:t>
      </w:r>
      <w:r w:rsidRPr="00082AE0">
        <w:rPr>
          <w:i/>
          <w:lang w:val="en-US"/>
        </w:rPr>
        <w:t xml:space="preserve"> (</w:t>
      </w:r>
      <w:proofErr w:type="spellStart"/>
      <w:r w:rsidRPr="00082AE0">
        <w:rPr>
          <w:i/>
          <w:lang w:val="en-US"/>
        </w:rPr>
        <w:t>Uro</w:t>
      </w:r>
      <w:proofErr w:type="spellEnd"/>
      <w:r w:rsidRPr="00082AE0">
        <w:rPr>
          <w:i/>
          <w:lang w:val="en-US"/>
        </w:rPr>
        <w:t>)</w:t>
      </w:r>
    </w:p>
    <w:p w:rsidR="00B20E1C" w:rsidRPr="00082AE0" w:rsidRDefault="00B20E1C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 w:rsidRPr="00082AE0">
        <w:rPr>
          <w:i/>
        </w:rPr>
        <w:t>ΚΕΤΟΝΙΚΑ ΣΩΜΑΤΑ</w:t>
      </w:r>
      <w:r w:rsidRPr="00082AE0">
        <w:rPr>
          <w:i/>
          <w:lang w:val="en-US"/>
        </w:rPr>
        <w:t xml:space="preserve"> (</w:t>
      </w:r>
      <w:proofErr w:type="spellStart"/>
      <w:r w:rsidRPr="00082AE0">
        <w:rPr>
          <w:i/>
          <w:lang w:val="en-US"/>
        </w:rPr>
        <w:t>Ket</w:t>
      </w:r>
      <w:proofErr w:type="spellEnd"/>
      <w:r w:rsidRPr="00082AE0">
        <w:rPr>
          <w:i/>
          <w:lang w:val="en-US"/>
        </w:rPr>
        <w:t>)</w:t>
      </w:r>
    </w:p>
    <w:p w:rsidR="00B20E1C" w:rsidRPr="00082AE0" w:rsidRDefault="00B20E1C" w:rsidP="00B20E1C">
      <w:pPr>
        <w:pStyle w:val="H5"/>
        <w:keepNext w:val="0"/>
        <w:numPr>
          <w:ilvl w:val="0"/>
          <w:numId w:val="2"/>
        </w:numPr>
        <w:tabs>
          <w:tab w:val="clear" w:pos="360"/>
        </w:tabs>
        <w:spacing w:before="0" w:after="0" w:line="360" w:lineRule="auto"/>
        <w:ind w:left="1560"/>
        <w:outlineLvl w:val="9"/>
        <w:rPr>
          <w:rFonts w:ascii="Times New Roman" w:hAnsi="Times New Roman"/>
          <w:sz w:val="24"/>
          <w:szCs w:val="24"/>
        </w:rPr>
      </w:pP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>pH</w:t>
      </w:r>
    </w:p>
    <w:p w:rsidR="00B20E1C" w:rsidRPr="00082AE0" w:rsidRDefault="00B20E1C" w:rsidP="00B20E1C">
      <w:pPr>
        <w:pStyle w:val="H5"/>
        <w:keepNext w:val="0"/>
        <w:numPr>
          <w:ilvl w:val="0"/>
          <w:numId w:val="2"/>
        </w:numPr>
        <w:tabs>
          <w:tab w:val="clear" w:pos="360"/>
        </w:tabs>
        <w:spacing w:before="0" w:after="0" w:line="360" w:lineRule="auto"/>
        <w:ind w:left="1560"/>
        <w:outlineLvl w:val="9"/>
        <w:rPr>
          <w:rFonts w:ascii="Times New Roman" w:hAnsi="Times New Roman"/>
          <w:sz w:val="24"/>
          <w:szCs w:val="24"/>
        </w:rPr>
      </w:pPr>
      <w:r w:rsidRPr="00082AE0">
        <w:rPr>
          <w:rFonts w:ascii="Times New Roman" w:hAnsi="Times New Roman"/>
          <w:i/>
          <w:noProof w:val="0"/>
          <w:sz w:val="24"/>
          <w:szCs w:val="24"/>
        </w:rPr>
        <w:t>ΕΙΔΙΚΟ ΒΑΡΟΣ (</w:t>
      </w: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>S</w:t>
      </w:r>
      <w:r w:rsidRPr="00082AE0">
        <w:rPr>
          <w:rFonts w:ascii="Times New Roman" w:hAnsi="Times New Roman"/>
          <w:i/>
          <w:noProof w:val="0"/>
          <w:sz w:val="24"/>
          <w:szCs w:val="24"/>
        </w:rPr>
        <w:t>.</w:t>
      </w: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>G</w:t>
      </w:r>
      <w:r w:rsidRPr="00082AE0">
        <w:rPr>
          <w:rFonts w:ascii="Times New Roman" w:hAnsi="Times New Roman"/>
          <w:i/>
          <w:noProof w:val="0"/>
          <w:sz w:val="24"/>
          <w:szCs w:val="24"/>
        </w:rPr>
        <w:t>.)</w:t>
      </w:r>
    </w:p>
    <w:p w:rsidR="00B20E1C" w:rsidRPr="00082AE0" w:rsidRDefault="00B20E1C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 w:rsidRPr="00082AE0">
        <w:rPr>
          <w:i/>
        </w:rPr>
        <w:t>ΧΡΩΜΑ (</w:t>
      </w:r>
      <w:r w:rsidRPr="00082AE0">
        <w:rPr>
          <w:i/>
          <w:lang w:val="en-US"/>
        </w:rPr>
        <w:t>Color)</w:t>
      </w:r>
    </w:p>
    <w:p w:rsidR="00B20E1C" w:rsidRPr="00082AE0" w:rsidRDefault="00B20E1C" w:rsidP="00B20E1C">
      <w:pPr>
        <w:pStyle w:val="1"/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rFonts w:ascii="Times New Roman" w:hAnsi="Times New Roman"/>
          <w:b w:val="0"/>
          <w:i/>
          <w:sz w:val="24"/>
          <w:szCs w:val="24"/>
          <w:lang w:val="en-US"/>
        </w:rPr>
      </w:pPr>
      <w:r w:rsidRPr="00082AE0">
        <w:rPr>
          <w:rFonts w:ascii="Times New Roman" w:hAnsi="Times New Roman"/>
          <w:b w:val="0"/>
          <w:i/>
          <w:sz w:val="24"/>
          <w:szCs w:val="24"/>
        </w:rPr>
        <w:t>ΟΨΗ</w:t>
      </w:r>
      <w:r w:rsidRPr="00082AE0">
        <w:rPr>
          <w:rFonts w:ascii="Times New Roman" w:hAnsi="Times New Roman"/>
          <w:b w:val="0"/>
          <w:i/>
          <w:sz w:val="24"/>
          <w:szCs w:val="24"/>
          <w:lang w:val="en-US"/>
        </w:rPr>
        <w:t xml:space="preserve"> (Turbidity)</w:t>
      </w:r>
      <w:r w:rsidRPr="00082AE0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B20E1C" w:rsidRPr="00082AE0" w:rsidRDefault="00B20E1C" w:rsidP="00B20E1C">
      <w:pPr>
        <w:spacing w:line="360" w:lineRule="auto"/>
        <w:rPr>
          <w:lang w:val="en-US"/>
        </w:rPr>
      </w:pP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Να έχει τη δυνατότητα επιπλέον μέτρησης της </w:t>
      </w:r>
      <w:r w:rsidRPr="00082AE0">
        <w:rPr>
          <w:lang w:val="en-US"/>
        </w:rPr>
        <w:t>K</w:t>
      </w:r>
      <w:proofErr w:type="spellStart"/>
      <w:r w:rsidRPr="00082AE0">
        <w:t>ρεατινίνης</w:t>
      </w:r>
      <w:proofErr w:type="spellEnd"/>
      <w:r w:rsidRPr="00082AE0">
        <w:t xml:space="preserve"> (</w:t>
      </w:r>
      <w:proofErr w:type="spellStart"/>
      <w:r w:rsidRPr="00082AE0">
        <w:rPr>
          <w:lang w:val="en-US"/>
        </w:rPr>
        <w:t>Cre</w:t>
      </w:r>
      <w:proofErr w:type="spellEnd"/>
      <w:r w:rsidRPr="00082AE0">
        <w:t xml:space="preserve">) και </w:t>
      </w:r>
      <w:r w:rsidRPr="00082AE0">
        <w:rPr>
          <w:lang w:val="en-US"/>
        </w:rPr>
        <w:t>A</w:t>
      </w:r>
      <w:proofErr w:type="spellStart"/>
      <w:r w:rsidRPr="00082AE0">
        <w:t>λβουμίνης</w:t>
      </w:r>
      <w:proofErr w:type="spellEnd"/>
      <w:r w:rsidRPr="00082AE0">
        <w:t xml:space="preserve"> (</w:t>
      </w:r>
      <w:r w:rsidRPr="00082AE0">
        <w:rPr>
          <w:lang w:val="en-US"/>
        </w:rPr>
        <w:t>Alb</w:t>
      </w:r>
      <w:r w:rsidRPr="00082AE0">
        <w:t xml:space="preserve">) ούρων και τον αυτόματο υπολογισμό  του λόγου </w:t>
      </w:r>
      <w:bookmarkStart w:id="2" w:name="_Hlk96869074"/>
      <w:r w:rsidRPr="00082AE0">
        <w:t>Πρωτεΐνης/</w:t>
      </w:r>
      <w:proofErr w:type="spellStart"/>
      <w:r w:rsidRPr="00082AE0">
        <w:t>Κρεατινίνης</w:t>
      </w:r>
      <w:proofErr w:type="spellEnd"/>
      <w:r w:rsidRPr="00082AE0">
        <w:t xml:space="preserve"> και </w:t>
      </w:r>
      <w:bookmarkEnd w:id="2"/>
      <w:proofErr w:type="spellStart"/>
      <w:r w:rsidRPr="00082AE0">
        <w:t>Αλβουμίνης</w:t>
      </w:r>
      <w:proofErr w:type="spellEnd"/>
      <w:r w:rsidRPr="00082AE0">
        <w:t>/</w:t>
      </w:r>
      <w:proofErr w:type="spellStart"/>
      <w:r w:rsidRPr="00082AE0">
        <w:t>Κρεατινίνης</w:t>
      </w:r>
      <w:proofErr w:type="spellEnd"/>
      <w:r w:rsidRPr="00082AE0">
        <w:t xml:space="preserve"> για την εκτίμηση της </w:t>
      </w:r>
      <w:proofErr w:type="spellStart"/>
      <w:r w:rsidRPr="00082AE0">
        <w:t>πρωτε</w:t>
      </w:r>
      <w:bookmarkStart w:id="3" w:name="_Hlk97060956"/>
      <w:r w:rsidRPr="00082AE0">
        <w:t>ϊ</w:t>
      </w:r>
      <w:bookmarkEnd w:id="3"/>
      <w:r w:rsidRPr="00082AE0">
        <w:t>νουρίας</w:t>
      </w:r>
      <w:proofErr w:type="spellEnd"/>
      <w:r w:rsidRPr="00082AE0">
        <w:t xml:space="preserve"> και </w:t>
      </w:r>
      <w:proofErr w:type="spellStart"/>
      <w:r w:rsidRPr="00082AE0">
        <w:t>μικρολευκωματινουρίας</w:t>
      </w:r>
      <w:proofErr w:type="spellEnd"/>
      <w:r w:rsidRPr="00082AE0">
        <w:t xml:space="preserve"> σε τυχαίο δείγμα ούρων. 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Οι προσφερόμενες </w:t>
      </w:r>
      <w:proofErr w:type="spellStart"/>
      <w:r w:rsidRPr="00082AE0">
        <w:t>αντιδραστήριες</w:t>
      </w:r>
      <w:proofErr w:type="spellEnd"/>
      <w:r w:rsidRPr="00082AE0">
        <w:t xml:space="preserve"> ταινίες να καλύπτουν τις παρακάτω παραμέτρους:</w:t>
      </w:r>
    </w:p>
    <w:p w:rsidR="00B20E1C" w:rsidRPr="00082AE0" w:rsidRDefault="00EF7478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>
        <w:rPr>
          <w:i/>
        </w:rPr>
        <w:pict>
          <v:line id="_x0000_s1027" style="position:absolute;left:0;text-align:left;z-index:251658240" from="167.85pt,1.6pt" to="167.85pt,66.4pt" o:allowincell="f" stroked="f">
            <v:shadow on="t" color="silver" offset="3pt"/>
          </v:line>
        </w:pict>
      </w:r>
      <w:r w:rsidR="00B20E1C" w:rsidRPr="00082AE0">
        <w:rPr>
          <w:i/>
        </w:rPr>
        <w:t>ΠΡΩΤΕ</w:t>
      </w:r>
      <w:r w:rsidR="00B20E1C" w:rsidRPr="00082AE0">
        <w:rPr>
          <w:i/>
          <w:snapToGrid w:val="0"/>
        </w:rPr>
        <w:t>Ï</w:t>
      </w:r>
      <w:r w:rsidR="00B20E1C" w:rsidRPr="00082AE0">
        <w:rPr>
          <w:i/>
        </w:rPr>
        <w:t>ΝΕΣ (</w:t>
      </w:r>
      <w:r w:rsidR="00B20E1C" w:rsidRPr="00082AE0">
        <w:rPr>
          <w:i/>
          <w:lang w:val="en-US"/>
        </w:rPr>
        <w:t>Pro)</w:t>
      </w:r>
    </w:p>
    <w:p w:rsidR="00B20E1C" w:rsidRPr="00082AE0" w:rsidRDefault="00B20E1C" w:rsidP="00B20E1C">
      <w:pPr>
        <w:pStyle w:val="H5"/>
        <w:keepNext w:val="0"/>
        <w:numPr>
          <w:ilvl w:val="0"/>
          <w:numId w:val="2"/>
        </w:numPr>
        <w:tabs>
          <w:tab w:val="clear" w:pos="360"/>
        </w:tabs>
        <w:spacing w:before="0" w:after="0" w:line="360" w:lineRule="auto"/>
        <w:ind w:left="1560"/>
        <w:outlineLvl w:val="9"/>
        <w:rPr>
          <w:rFonts w:ascii="Times New Roman" w:hAnsi="Times New Roman"/>
          <w:i/>
          <w:noProof w:val="0"/>
          <w:sz w:val="24"/>
          <w:szCs w:val="24"/>
        </w:rPr>
      </w:pPr>
      <w:r w:rsidRPr="00082AE0">
        <w:rPr>
          <w:rFonts w:ascii="Times New Roman" w:hAnsi="Times New Roman"/>
          <w:i/>
          <w:noProof w:val="0"/>
          <w:sz w:val="24"/>
          <w:szCs w:val="24"/>
        </w:rPr>
        <w:t>ΝΙΤΡΙΚΑ</w:t>
      </w: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 xml:space="preserve"> (Nit)</w:t>
      </w:r>
    </w:p>
    <w:p w:rsidR="00B20E1C" w:rsidRPr="00082AE0" w:rsidRDefault="00B20E1C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 w:rsidRPr="00082AE0">
        <w:rPr>
          <w:i/>
        </w:rPr>
        <w:t>ΛΕΥΚΟΚΥΤΤΑΡΙΚΗ ΕΣΤΕΡΑΣΗ</w:t>
      </w:r>
      <w:r w:rsidRPr="00082AE0">
        <w:rPr>
          <w:i/>
          <w:lang w:val="en-US"/>
        </w:rPr>
        <w:t xml:space="preserve"> (</w:t>
      </w:r>
      <w:proofErr w:type="spellStart"/>
      <w:r w:rsidRPr="00082AE0">
        <w:rPr>
          <w:i/>
          <w:lang w:val="en-US"/>
        </w:rPr>
        <w:t>Leu</w:t>
      </w:r>
      <w:proofErr w:type="spellEnd"/>
      <w:r w:rsidRPr="00082AE0">
        <w:rPr>
          <w:i/>
          <w:lang w:val="en-US"/>
        </w:rPr>
        <w:t>)</w:t>
      </w:r>
    </w:p>
    <w:p w:rsidR="00B20E1C" w:rsidRPr="00082AE0" w:rsidRDefault="00B20E1C" w:rsidP="00B20E1C">
      <w:pPr>
        <w:pStyle w:val="H5"/>
        <w:keepNext w:val="0"/>
        <w:numPr>
          <w:ilvl w:val="0"/>
          <w:numId w:val="2"/>
        </w:numPr>
        <w:tabs>
          <w:tab w:val="clear" w:pos="360"/>
        </w:tabs>
        <w:spacing w:before="0" w:after="0" w:line="360" w:lineRule="auto"/>
        <w:ind w:left="1560"/>
        <w:outlineLvl w:val="9"/>
        <w:rPr>
          <w:rFonts w:ascii="Times New Roman" w:hAnsi="Times New Roman"/>
          <w:i/>
          <w:noProof w:val="0"/>
          <w:sz w:val="24"/>
          <w:szCs w:val="24"/>
        </w:rPr>
      </w:pPr>
      <w:r w:rsidRPr="00082AE0">
        <w:rPr>
          <w:rFonts w:ascii="Times New Roman" w:hAnsi="Times New Roman"/>
          <w:i/>
          <w:noProof w:val="0"/>
          <w:sz w:val="24"/>
          <w:szCs w:val="24"/>
        </w:rPr>
        <w:t>ΑΙΜΟΣΦΑΙΡΙΝΗ</w:t>
      </w: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 xml:space="preserve"> (</w:t>
      </w:r>
      <w:proofErr w:type="spellStart"/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>Bld</w:t>
      </w:r>
      <w:proofErr w:type="spellEnd"/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>)</w:t>
      </w:r>
    </w:p>
    <w:p w:rsidR="00B20E1C" w:rsidRPr="00082AE0" w:rsidRDefault="00B20E1C" w:rsidP="00B20E1C">
      <w:pPr>
        <w:pStyle w:val="H5"/>
        <w:keepNext w:val="0"/>
        <w:numPr>
          <w:ilvl w:val="0"/>
          <w:numId w:val="2"/>
        </w:numPr>
        <w:tabs>
          <w:tab w:val="clear" w:pos="360"/>
        </w:tabs>
        <w:spacing w:before="0" w:after="0" w:line="360" w:lineRule="auto"/>
        <w:ind w:left="1560"/>
        <w:outlineLvl w:val="9"/>
        <w:rPr>
          <w:rFonts w:ascii="Times New Roman" w:hAnsi="Times New Roman"/>
          <w:i/>
          <w:noProof w:val="0"/>
          <w:sz w:val="24"/>
          <w:szCs w:val="24"/>
        </w:rPr>
      </w:pPr>
      <w:r w:rsidRPr="00082AE0">
        <w:rPr>
          <w:rFonts w:ascii="Times New Roman" w:hAnsi="Times New Roman"/>
          <w:i/>
          <w:noProof w:val="0"/>
          <w:sz w:val="24"/>
          <w:szCs w:val="24"/>
        </w:rPr>
        <w:t>ΓΛΥΚΟΖΗ</w:t>
      </w: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 xml:space="preserve"> (Glu)</w:t>
      </w:r>
    </w:p>
    <w:p w:rsidR="00B20E1C" w:rsidRPr="00082AE0" w:rsidRDefault="00B20E1C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 w:rsidRPr="00082AE0">
        <w:rPr>
          <w:i/>
        </w:rPr>
        <w:t>ΧΟΛΕΡΥΘΡΙΝΗ</w:t>
      </w:r>
      <w:r w:rsidRPr="00082AE0">
        <w:rPr>
          <w:i/>
          <w:lang w:val="en-US"/>
        </w:rPr>
        <w:t xml:space="preserve"> (</w:t>
      </w:r>
      <w:proofErr w:type="spellStart"/>
      <w:r w:rsidRPr="00082AE0">
        <w:rPr>
          <w:i/>
          <w:lang w:val="en-US"/>
        </w:rPr>
        <w:t>Bil</w:t>
      </w:r>
      <w:proofErr w:type="spellEnd"/>
      <w:r w:rsidRPr="00082AE0">
        <w:rPr>
          <w:i/>
          <w:lang w:val="en-US"/>
        </w:rPr>
        <w:t>)</w:t>
      </w:r>
    </w:p>
    <w:p w:rsidR="00B20E1C" w:rsidRPr="00082AE0" w:rsidRDefault="00B20E1C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 w:rsidRPr="00082AE0">
        <w:rPr>
          <w:i/>
        </w:rPr>
        <w:t>ΟΥΡΟΧΟΛΙΝΟΓΟΝΟ</w:t>
      </w:r>
      <w:r w:rsidRPr="00082AE0">
        <w:rPr>
          <w:i/>
          <w:lang w:val="en-US"/>
        </w:rPr>
        <w:t xml:space="preserve"> (</w:t>
      </w:r>
      <w:proofErr w:type="spellStart"/>
      <w:r w:rsidRPr="00082AE0">
        <w:rPr>
          <w:i/>
          <w:lang w:val="en-US"/>
        </w:rPr>
        <w:t>Uro</w:t>
      </w:r>
      <w:proofErr w:type="spellEnd"/>
      <w:r w:rsidRPr="00082AE0">
        <w:rPr>
          <w:i/>
          <w:lang w:val="en-US"/>
        </w:rPr>
        <w:t>)</w:t>
      </w:r>
    </w:p>
    <w:p w:rsidR="00B20E1C" w:rsidRPr="00082AE0" w:rsidRDefault="00B20E1C" w:rsidP="00B20E1C">
      <w:pPr>
        <w:numPr>
          <w:ilvl w:val="0"/>
          <w:numId w:val="2"/>
        </w:numPr>
        <w:tabs>
          <w:tab w:val="clear" w:pos="360"/>
        </w:tabs>
        <w:spacing w:line="360" w:lineRule="auto"/>
        <w:ind w:left="1560"/>
        <w:rPr>
          <w:i/>
        </w:rPr>
      </w:pPr>
      <w:r w:rsidRPr="00082AE0">
        <w:rPr>
          <w:i/>
        </w:rPr>
        <w:t>ΚΕΤΟΝΙΚΑ ΣΩΜΑΤΑ</w:t>
      </w:r>
      <w:r w:rsidRPr="00082AE0">
        <w:rPr>
          <w:i/>
          <w:lang w:val="en-US"/>
        </w:rPr>
        <w:t xml:space="preserve"> (</w:t>
      </w:r>
      <w:proofErr w:type="spellStart"/>
      <w:r w:rsidRPr="00082AE0">
        <w:rPr>
          <w:i/>
          <w:lang w:val="en-US"/>
        </w:rPr>
        <w:t>Ket</w:t>
      </w:r>
      <w:proofErr w:type="spellEnd"/>
      <w:r w:rsidRPr="00082AE0">
        <w:rPr>
          <w:i/>
          <w:lang w:val="en-US"/>
        </w:rPr>
        <w:t>)</w:t>
      </w:r>
    </w:p>
    <w:p w:rsidR="00B20E1C" w:rsidRPr="00082AE0" w:rsidRDefault="00B20E1C" w:rsidP="00B20E1C">
      <w:pPr>
        <w:pStyle w:val="H5"/>
        <w:keepNext w:val="0"/>
        <w:numPr>
          <w:ilvl w:val="0"/>
          <w:numId w:val="2"/>
        </w:numPr>
        <w:tabs>
          <w:tab w:val="clear" w:pos="360"/>
        </w:tabs>
        <w:spacing w:before="0" w:after="0" w:line="360" w:lineRule="auto"/>
        <w:ind w:left="1560"/>
        <w:outlineLvl w:val="9"/>
        <w:rPr>
          <w:rFonts w:ascii="Times New Roman" w:hAnsi="Times New Roman"/>
          <w:sz w:val="24"/>
          <w:szCs w:val="24"/>
        </w:rPr>
      </w:pP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>pH</w:t>
      </w:r>
    </w:p>
    <w:p w:rsidR="00B20E1C" w:rsidRPr="00082AE0" w:rsidRDefault="00B20E1C" w:rsidP="00B20E1C">
      <w:pPr>
        <w:pStyle w:val="H5"/>
        <w:keepNext w:val="0"/>
        <w:numPr>
          <w:ilvl w:val="0"/>
          <w:numId w:val="2"/>
        </w:numPr>
        <w:tabs>
          <w:tab w:val="clear" w:pos="360"/>
        </w:tabs>
        <w:spacing w:before="0" w:after="0" w:line="360" w:lineRule="auto"/>
        <w:ind w:left="1560"/>
        <w:outlineLvl w:val="9"/>
        <w:rPr>
          <w:rFonts w:ascii="Times New Roman" w:hAnsi="Times New Roman"/>
          <w:sz w:val="24"/>
          <w:szCs w:val="24"/>
        </w:rPr>
      </w:pPr>
      <w:r w:rsidRPr="00082AE0">
        <w:rPr>
          <w:rFonts w:ascii="Times New Roman" w:hAnsi="Times New Roman"/>
          <w:i/>
          <w:noProof w:val="0"/>
          <w:sz w:val="24"/>
          <w:szCs w:val="24"/>
        </w:rPr>
        <w:t>ΕΙΔΙΚΟ ΒΑΡΟΣ (</w:t>
      </w: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>S</w:t>
      </w:r>
      <w:r w:rsidRPr="00082AE0">
        <w:rPr>
          <w:rFonts w:ascii="Times New Roman" w:hAnsi="Times New Roman"/>
          <w:i/>
          <w:noProof w:val="0"/>
          <w:sz w:val="24"/>
          <w:szCs w:val="24"/>
        </w:rPr>
        <w:t>.</w:t>
      </w:r>
      <w:r w:rsidRPr="00082AE0">
        <w:rPr>
          <w:rFonts w:ascii="Times New Roman" w:hAnsi="Times New Roman"/>
          <w:i/>
          <w:noProof w:val="0"/>
          <w:sz w:val="24"/>
          <w:szCs w:val="24"/>
          <w:lang w:val="en-US"/>
        </w:rPr>
        <w:t>G</w:t>
      </w:r>
      <w:r w:rsidRPr="00082AE0">
        <w:rPr>
          <w:rFonts w:ascii="Times New Roman" w:hAnsi="Times New Roman"/>
          <w:i/>
          <w:noProof w:val="0"/>
          <w:sz w:val="24"/>
          <w:szCs w:val="24"/>
        </w:rPr>
        <w:t>.)</w:t>
      </w:r>
    </w:p>
    <w:p w:rsidR="00B20E1C" w:rsidRPr="00082AE0" w:rsidRDefault="00B20E1C" w:rsidP="00B20E1C">
      <w:pPr>
        <w:spacing w:line="360" w:lineRule="auto"/>
        <w:ind w:left="360"/>
        <w:jc w:val="both"/>
      </w:pP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Να κάνει αυτόματα </w:t>
      </w:r>
      <w:bookmarkStart w:id="4" w:name="_Hlk97060171"/>
      <w:r w:rsidRPr="00082AE0">
        <w:t>πλήρη διόρθωση της επίδρασης του χρώματος κάθε δείγματος ούρων στη μέτρηση όλων των ανωτέρω παραμέτρων (λιγότερα ψευδή αποτελέσματα).</w:t>
      </w:r>
    </w:p>
    <w:bookmarkEnd w:id="4"/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lastRenderedPageBreak/>
        <w:t>Να κάνει αυτόματα πλήρη διόρθωση της επίδρασης της θερμοκρασίας αντίδρασης στο αποτέλεσμα της μέτρησης όλων των μετρούμενων παραμέτρων. (συγκρίσιμα αποτελέσματα σε διαφορετικές συνθήκες αντίδρασης).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Να κάνει αυτόματα πλήρη διόρθωση της επίδρασης πιθανής </w:t>
      </w:r>
      <w:proofErr w:type="spellStart"/>
      <w:r w:rsidRPr="00082AE0">
        <w:t>πρωτεϊνουρίας</w:t>
      </w:r>
      <w:proofErr w:type="spellEnd"/>
      <w:r w:rsidRPr="00082AE0">
        <w:t xml:space="preserve"> και </w:t>
      </w:r>
      <w:proofErr w:type="spellStart"/>
      <w:r w:rsidRPr="00082AE0">
        <w:t>γλυκοζουρίας</w:t>
      </w:r>
      <w:proofErr w:type="spellEnd"/>
      <w:r w:rsidRPr="00082AE0">
        <w:t xml:space="preserve"> κάθε δείγματος ούρων στη μέτρηση του Ειδικού Βάρους.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Να μην απαιτεί χρήση ειδικών σωληναρίων για τα δείγματα και ο ελάχιστος απαιτούμενος όγκος των δειγμάτων ρουτίνας και επειγόντων να είναι 2</w:t>
      </w:r>
      <w:r w:rsidRPr="00082AE0">
        <w:rPr>
          <w:lang w:val="en-US"/>
        </w:rPr>
        <w:t>ml</w:t>
      </w:r>
      <w:r w:rsidRPr="00082AE0">
        <w:t>. Επιπλέον να έχει  λειτουργία μικρού όγκου, με ελάχιστο απαιτούμενο όγκο 1</w:t>
      </w:r>
      <w:r w:rsidRPr="00082AE0">
        <w:rPr>
          <w:lang w:val="en-US"/>
        </w:rPr>
        <w:t>ml</w:t>
      </w:r>
      <w:r w:rsidRPr="00082AE0">
        <w:t>, για την ανάλυση ειδικών δειγμάτων π.χ. παιδιατρικών.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Να έχει ενσωματωμένα εκτυπωτή, έγχρωμη οθόνη και </w:t>
      </w:r>
      <w:r w:rsidRPr="00082AE0">
        <w:rPr>
          <w:lang w:val="en-US"/>
        </w:rPr>
        <w:t>Bar</w:t>
      </w:r>
      <w:r w:rsidRPr="00082AE0">
        <w:t xml:space="preserve"> </w:t>
      </w:r>
      <w:r w:rsidRPr="00082AE0">
        <w:rPr>
          <w:lang w:val="en-US"/>
        </w:rPr>
        <w:t>Code</w:t>
      </w:r>
      <w:r w:rsidRPr="00082AE0">
        <w:t xml:space="preserve"> </w:t>
      </w:r>
      <w:r w:rsidRPr="00082AE0">
        <w:rPr>
          <w:lang w:val="en-US"/>
        </w:rPr>
        <w:t>reader</w:t>
      </w:r>
      <w:r w:rsidRPr="00082AE0">
        <w:t xml:space="preserve"> δειγμάτων.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Να είναι δυνατή η </w:t>
      </w:r>
      <w:bookmarkStart w:id="5" w:name="_Hlk97059564"/>
      <w:r w:rsidRPr="00082AE0">
        <w:t>σύνδεση του αναλυτή με το πρόγραμμα διαχείρισης εργαστηριακών δεδομένων (</w:t>
      </w:r>
      <w:r w:rsidRPr="00082AE0">
        <w:rPr>
          <w:lang w:val="en-US"/>
        </w:rPr>
        <w:t>LIS</w:t>
      </w:r>
      <w:r w:rsidRPr="00082AE0">
        <w:t>) του Νοσοκομείου. Ο προμηθευτής θα αναλάβει το κόστος σύνδεσης.</w:t>
      </w:r>
      <w:r w:rsidRPr="00082AE0">
        <w:rPr>
          <w:i/>
        </w:rPr>
        <w:t>.</w:t>
      </w:r>
    </w:p>
    <w:bookmarkEnd w:id="5"/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  <w:rPr>
          <w:iCs/>
        </w:rPr>
      </w:pPr>
      <w:r w:rsidRPr="00082AE0">
        <w:rPr>
          <w:iCs/>
        </w:rPr>
        <w:t>Όλα τα απαιτούμενα υλικά για την λειτουργία του αναλυτή να είναι του ίδιου κατασκευαστικού οίκου με αυτόν του αναλυτή και</w:t>
      </w:r>
      <w:r w:rsidRPr="00082AE0">
        <w:rPr>
          <w:bCs/>
          <w:iCs/>
        </w:rPr>
        <w:t xml:space="preserve"> να έχουν σήμανση CE / IVD.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Να προσφερθεί από την εταιρεία σχήμα εξωτερικού ελέγχου ποιότητας τουλάχιστον 4 κύκλων ανά έτος.</w:t>
      </w:r>
    </w:p>
    <w:p w:rsidR="00B20E1C" w:rsidRPr="00082AE0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 xml:space="preserve"> Όλα τα παραπάνω να τεκμηριώνονται απαραίτητα με παραπομπές σε αντίστοιχα έντυπα του κατασκευαστή.</w:t>
      </w:r>
    </w:p>
    <w:p w:rsidR="00B20E1C" w:rsidRPr="007008AA" w:rsidRDefault="00B20E1C" w:rsidP="00B20E1C">
      <w:pPr>
        <w:numPr>
          <w:ilvl w:val="0"/>
          <w:numId w:val="1"/>
        </w:numPr>
        <w:spacing w:line="360" w:lineRule="auto"/>
        <w:jc w:val="both"/>
      </w:pPr>
      <w:r w:rsidRPr="00082AE0">
        <w:t>Να προσφερθούν δύο (2) όμοιοι αναλυτές</w:t>
      </w:r>
      <w:r>
        <w:t>.</w:t>
      </w:r>
      <w:r w:rsidRPr="00082AE0">
        <w:t xml:space="preserve"> </w:t>
      </w:r>
    </w:p>
    <w:p w:rsidR="00B20E1C" w:rsidRPr="007008AA" w:rsidRDefault="00B20E1C" w:rsidP="00B20E1C">
      <w:pPr>
        <w:spacing w:line="360" w:lineRule="auto"/>
        <w:ind w:left="360"/>
        <w:jc w:val="both"/>
      </w:pPr>
    </w:p>
    <w:p w:rsidR="00B20E1C" w:rsidRDefault="00B20E1C" w:rsidP="00B20E1C">
      <w:pPr>
        <w:pStyle w:val="a3"/>
        <w:ind w:left="360"/>
        <w:jc w:val="both"/>
      </w:pPr>
      <w:r>
        <w:t>Σύνολο δειγμάτων ούρων το χρόνο: 20.000 δείγματα</w:t>
      </w:r>
    </w:p>
    <w:p w:rsidR="00B20E1C" w:rsidRDefault="00B20E1C" w:rsidP="00B20E1C">
      <w:pPr>
        <w:pStyle w:val="a3"/>
        <w:ind w:left="360"/>
        <w:jc w:val="both"/>
      </w:pPr>
      <w:r>
        <w:t>Να προσφέρονται όλα τα απαραίτητα υλικά (</w:t>
      </w:r>
      <w:r w:rsidRPr="007008AA">
        <w:rPr>
          <w:lang w:val="en-US"/>
        </w:rPr>
        <w:t>controls</w:t>
      </w:r>
      <w:r w:rsidRPr="00EB2F9A">
        <w:t xml:space="preserve">, </w:t>
      </w:r>
      <w:r>
        <w:t xml:space="preserve">ταινίες ούρων, </w:t>
      </w:r>
      <w:r w:rsidRPr="007008AA">
        <w:rPr>
          <w:lang w:val="en-US"/>
        </w:rPr>
        <w:t>calibrators</w:t>
      </w:r>
      <w:r w:rsidRPr="00EB2F9A">
        <w:t xml:space="preserve"> </w:t>
      </w:r>
      <w:r>
        <w:t>και τα απαραίτητα αναλώσιμα).</w:t>
      </w:r>
    </w:p>
    <w:p w:rsidR="00B20E1C" w:rsidRDefault="00B20E1C" w:rsidP="00B20E1C">
      <w:pPr>
        <w:pStyle w:val="a3"/>
        <w:ind w:left="360"/>
        <w:jc w:val="both"/>
      </w:pPr>
      <w:r>
        <w:t xml:space="preserve"> </w:t>
      </w:r>
      <w:r w:rsidRPr="007008AA">
        <w:rPr>
          <w:u w:val="single"/>
        </w:rPr>
        <w:t>Εκτιμώμενο Κόστος</w:t>
      </w:r>
      <w:r>
        <w:t xml:space="preserve">: </w:t>
      </w:r>
      <w:r w:rsidRPr="00815DDA">
        <w:t xml:space="preserve"> </w:t>
      </w:r>
      <w:r>
        <w:t xml:space="preserve">24.000 </w:t>
      </w:r>
      <w:proofErr w:type="spellStart"/>
      <w:r>
        <w:t>ευρώ+ΦΠΑ</w:t>
      </w:r>
      <w:proofErr w:type="spellEnd"/>
      <w:r>
        <w:t xml:space="preserve">. </w:t>
      </w:r>
    </w:p>
    <w:p w:rsidR="00B20E1C" w:rsidRPr="00082AE0" w:rsidRDefault="00B20E1C" w:rsidP="00B20E1C">
      <w:pPr>
        <w:spacing w:line="360" w:lineRule="auto"/>
        <w:jc w:val="both"/>
      </w:pPr>
    </w:p>
    <w:p w:rsidR="00B20E1C" w:rsidRDefault="00B20E1C" w:rsidP="00B20E1C">
      <w:pPr>
        <w:ind w:hanging="567"/>
      </w:pPr>
    </w:p>
    <w:p w:rsidR="00B20E1C" w:rsidRDefault="00B20E1C" w:rsidP="00B20E1C">
      <w:pPr>
        <w:ind w:hanging="567"/>
      </w:pPr>
    </w:p>
    <w:p w:rsidR="00B20E1C" w:rsidRDefault="00B20E1C" w:rsidP="00B20E1C">
      <w:pPr>
        <w:jc w:val="both"/>
      </w:pPr>
    </w:p>
    <w:p w:rsidR="00C312D7" w:rsidRDefault="00C312D7"/>
    <w:sectPr w:rsidR="00C312D7" w:rsidSect="00C312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HellasArial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84942"/>
    <w:multiLevelType w:val="singleLevel"/>
    <w:tmpl w:val="186C3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</w:rPr>
    </w:lvl>
  </w:abstractNum>
  <w:abstractNum w:abstractNumId="1">
    <w:nsid w:val="3FF8411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0E1C"/>
    <w:rsid w:val="000067A4"/>
    <w:rsid w:val="0045253B"/>
    <w:rsid w:val="004F5F4A"/>
    <w:rsid w:val="006C7734"/>
    <w:rsid w:val="00B20E1C"/>
    <w:rsid w:val="00C312D7"/>
    <w:rsid w:val="00EF7478"/>
    <w:rsid w:val="00F2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B20E1C"/>
    <w:pPr>
      <w:keepNext/>
      <w:jc w:val="both"/>
      <w:outlineLvl w:val="0"/>
    </w:pPr>
    <w:rPr>
      <w:rFonts w:ascii="Arial" w:hAnsi="Arial"/>
      <w:b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20E1C"/>
    <w:rPr>
      <w:rFonts w:ascii="Arial" w:eastAsia="Times New Roman" w:hAnsi="Arial" w:cs="Times New Roman"/>
      <w:b/>
      <w:sz w:val="20"/>
      <w:szCs w:val="20"/>
    </w:rPr>
  </w:style>
  <w:style w:type="paragraph" w:customStyle="1" w:styleId="menarini">
    <w:name w:val="menarini"/>
    <w:basedOn w:val="a"/>
    <w:rsid w:val="00B20E1C"/>
    <w:pPr>
      <w:spacing w:line="240" w:lineRule="atLeast"/>
    </w:pPr>
    <w:rPr>
      <w:rFonts w:ascii="HellasArial" w:hAnsi="HellasArial"/>
      <w:sz w:val="22"/>
      <w:szCs w:val="20"/>
      <w:lang w:eastAsia="en-US"/>
    </w:rPr>
  </w:style>
  <w:style w:type="paragraph" w:customStyle="1" w:styleId="H5">
    <w:name w:val="H5"/>
    <w:basedOn w:val="a"/>
    <w:next w:val="a"/>
    <w:rsid w:val="00B20E1C"/>
    <w:pPr>
      <w:keepNext/>
      <w:widowControl w:val="0"/>
      <w:spacing w:before="100" w:after="100"/>
      <w:outlineLvl w:val="5"/>
    </w:pPr>
    <w:rPr>
      <w:rFonts w:ascii="Tahoma" w:hAnsi="Tahoma"/>
      <w:noProof/>
      <w:snapToGrid w:val="0"/>
      <w:color w:val="000000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B20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2023-06-12T06:04:00Z</dcterms:created>
  <dcterms:modified xsi:type="dcterms:W3CDTF">2023-06-12T06:04:00Z</dcterms:modified>
</cp:coreProperties>
</file>